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75C09">
      <w:pPr>
        <w:spacing w:line="360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36"/>
          <w:szCs w:val="36"/>
        </w:rPr>
        <w:t>海薯藤</w:t>
      </w:r>
    </w:p>
    <w:p w14:paraId="356C71C0">
      <w:pPr>
        <w:widowControl/>
        <w:adjustRightInd w:val="0"/>
        <w:snapToGrid w:val="0"/>
        <w:spacing w:line="360" w:lineRule="auto"/>
        <w:jc w:val="center"/>
        <w:rPr>
          <w:rFonts w:ascii="黑体" w:hAnsi="黑体" w:eastAsia="黑体" w:cs="黑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黑体" w:hAnsi="黑体" w:eastAsia="黑体" w:cs="黑体"/>
          <w:color w:val="000000"/>
          <w:kern w:val="0"/>
          <w:sz w:val="24"/>
          <w:szCs w:val="24"/>
          <w:lang w:bidi="ar"/>
          <w14:ligatures w14:val="none"/>
        </w:rPr>
        <w:t>Haishuteng</w:t>
      </w:r>
    </w:p>
    <w:p w14:paraId="06F88788">
      <w:pPr>
        <w:widowControl/>
        <w:adjustRightInd w:val="0"/>
        <w:snapToGrid w:val="0"/>
        <w:spacing w:line="360" w:lineRule="auto"/>
        <w:ind w:firstLine="562" w:firstLineChars="200"/>
        <w:jc w:val="center"/>
        <w:rPr>
          <w:rFonts w:ascii="Times New Roman" w:hAnsi="Times New Roman" w:eastAsia="宋体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宋体" w:cs="Times New Roman"/>
          <w:b/>
          <w:bCs/>
          <w:kern w:val="0"/>
          <w:sz w:val="28"/>
          <w:szCs w:val="28"/>
          <w14:ligatures w14:val="none"/>
        </w:rPr>
        <w:t>IPOMOEAE PES</w:t>
      </w:r>
      <w:r>
        <w:rPr>
          <w:rFonts w:hint="eastAsia" w:ascii="Times New Roman" w:hAnsi="Times New Roman" w:eastAsia="宋体" w:cs="Times New Roman"/>
          <w:b/>
          <w:bCs/>
          <w:kern w:val="0"/>
          <w:sz w:val="28"/>
          <w:szCs w:val="28"/>
          <w14:ligatures w14:val="none"/>
        </w:rPr>
        <w:t>-</w:t>
      </w:r>
      <w:r>
        <w:rPr>
          <w:rFonts w:ascii="Times New Roman" w:hAnsi="Times New Roman" w:eastAsia="宋体" w:cs="Times New Roman"/>
          <w:b/>
          <w:bCs/>
          <w:kern w:val="0"/>
          <w:sz w:val="28"/>
          <w:szCs w:val="28"/>
          <w14:ligatures w14:val="none"/>
        </w:rPr>
        <w:t>CAPRAE HERBA</w:t>
      </w:r>
    </w:p>
    <w:p w14:paraId="7F44F3D9">
      <w:pPr>
        <w:widowControl/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  <w:t>本品为旋花科植物厚藤</w:t>
      </w:r>
      <w:r>
        <w:rPr>
          <w:rFonts w:ascii="Times New Roman" w:hAnsi="Times New Roman" w:eastAsia="宋体" w:cs="Times New Roman"/>
          <w:i/>
          <w:iCs/>
          <w:kern w:val="0"/>
          <w:sz w:val="24"/>
          <w:szCs w:val="24"/>
          <w:lang w:bidi="ar"/>
          <w14:ligatures w14:val="none"/>
        </w:rPr>
        <w:t xml:space="preserve">Ipomoea pes-caprae </w:t>
      </w:r>
      <w:r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  <w:t>(L.) Sweet的干燥全草。</w:t>
      </w:r>
      <w:bookmarkStart w:id="1" w:name="_GoBack"/>
      <w:r>
        <w:rPr>
          <w:rFonts w:ascii="Times New Roman" w:hAnsi="Times New Roman" w:eastAsia="宋体" w:cs="Times New Roman"/>
          <w:color w:val="auto"/>
          <w:kern w:val="0"/>
          <w:sz w:val="24"/>
          <w:lang w:bidi="ar"/>
          <w14:ligatures w14:val="none"/>
        </w:rPr>
        <w:t>全年可采</w:t>
      </w:r>
      <w:bookmarkEnd w:id="1"/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，除去杂质，干燥。</w:t>
      </w:r>
    </w:p>
    <w:p w14:paraId="7BEBDBA3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【性状】</w:t>
      </w:r>
      <w:r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  <w:t>本品茎呈圆柱形，长可达3m，直径0.2～1.5cm，表面浅棕色至棕褐色，有纵向纹理；节处稍膨大，有的可见不定根；质韧，不易折断，断面浅棕色至灰褐色，多中空。叶多皱缩，完整者展开后呈卵形，椭圆形、肾形或长圆形，长3.5～9cm，宽3～10cm，顶端二裂或微缺，裂片圆形，裂缺浅或深，有时具有小突尖，基部阔楔形、截平至浅心形；叶背面近基部中脉两侧各有1枚腺体。气微，味淡。</w:t>
      </w:r>
    </w:p>
    <w:p w14:paraId="3F67BAB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【鉴别】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（1）本品茎横切面：表皮细胞1列，类方形或长方形，有的细胞壁木化增厚，形成石细胞。老茎木栓细胞数列。皮层外侧为3～6列厚角细胞。维管束双韧型，韧皮部较窄，外侧纤维束断续排列成环。形成层细胞2～3列。木质部导管单个散在或数个相聚，其周围有木纤维。乳汁管散在于皮层、韧皮部及髓部，草酸钙簇晶存于薄壁细胞中。</w:t>
      </w:r>
    </w:p>
    <w:p w14:paraId="6C928801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</w:pPr>
      <w:r>
        <w:rPr>
          <w:rFonts w:ascii="Times New Roman" w:hAnsi="Times New Roman" w:eastAsia="宋体" w:cs="Times New Roman"/>
          <w:kern w:val="0"/>
          <w:sz w:val="24"/>
          <w:szCs w:val="24"/>
          <w:lang w:bidi="ar"/>
          <w14:ligatures w14:val="none"/>
        </w:rPr>
        <w:t>粉末黄绿色至灰棕色。纤维多见，多成束。草酸钙簇晶众多，直径7～44μm，棱角较尖。石细胞类圆形、方形、圆多角形或长条形。乳汁管含黄褐色分泌物。叶表皮细胞多角形或类方形，气孔平轴式或不定式，可见腺鳞，由8～17个分泌细胞组成，直径24～57μm。导管为梯纹导管、螺纹导管和具缘纹孔导管。</w:t>
      </w:r>
    </w:p>
    <w:p w14:paraId="78BCE47A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取本品粉末1g，加甲醇10ml，</w:t>
      </w:r>
      <w:bookmarkStart w:id="0" w:name="_Hlk208825853"/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超声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  <w14:ligatures w14:val="none"/>
        </w:rPr>
        <w:t>处理</w:t>
      </w:r>
      <w:bookmarkEnd w:id="0"/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30分钟，滤过，滤液蒸干，残渣加甲醇1ml使溶解，作为供试品溶液。另取海薯藤对照药材1g，同法制成对照药材溶液。再取咖啡酸对照品，加甲醇制成每1ml含0.2mg的溶液，作为对照品溶液。照薄层色谱法（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  <w14:ligatures w14:val="none"/>
        </w:rPr>
        <w:t>《中国药典》2025年版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通则0502）试验，吸取上述三种溶液各3μl，分别点于同一硅胶GF</w:t>
      </w:r>
      <w:r>
        <w:rPr>
          <w:rFonts w:ascii="Times New Roman" w:hAnsi="Times New Roman" w:eastAsia="宋体" w:cs="Times New Roman"/>
          <w:kern w:val="0"/>
          <w:sz w:val="24"/>
          <w:vertAlign w:val="subscript"/>
          <w:lang w:bidi="ar"/>
          <w14:ligatures w14:val="none"/>
        </w:rPr>
        <w:t>254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薄层板上，以环己烷-乙酸乙酯-丙酮-甲酸（6:2:3:0.15）为展开剂，展开，取出，晾干，置紫外光灯(365nm)下检视。供试品色谱中，在与对照药材色谱和对照品色谱相应的位置上，显相同颜色的荧光斑点。</w:t>
      </w:r>
    </w:p>
    <w:p w14:paraId="4428E090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</w:p>
    <w:p w14:paraId="688AC74C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FF0000"/>
          <w:kern w:val="0"/>
          <w:sz w:val="24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【检查】水分</w:t>
      </w:r>
      <w:r>
        <w:rPr>
          <w:rFonts w:ascii="Times New Roman" w:hAnsi="Times New Roman" w:eastAsia="黑体" w:cs="Times New Roman"/>
          <w:kern w:val="0"/>
          <w:sz w:val="24"/>
          <w:lang w:bidi="ar"/>
          <w14:ligatures w14:val="none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 xml:space="preserve"> 不得过13.0%（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  <w14:ligatures w14:val="none"/>
        </w:rPr>
        <w:t>《中国药典》2025年版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通则0832</w:t>
      </w:r>
      <w:r>
        <w:rPr>
          <w:rFonts w:ascii="Times New Roman" w:hAnsi="Times New Roman" w:eastAsia="宋体" w:cs="Times New Roman"/>
          <w:color w:val="000000"/>
          <w:sz w:val="24"/>
        </w:rPr>
        <w:t>第二法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）。</w:t>
      </w:r>
    </w:p>
    <w:p w14:paraId="18FE4AE9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  <w:r>
        <w:rPr>
          <w:rFonts w:ascii="Times New Roman" w:hAnsi="Times New Roman" w:eastAsia="黑体" w:cs="Times New Roman"/>
          <w:kern w:val="0"/>
          <w:sz w:val="24"/>
          <w:lang w:bidi="ar"/>
          <w14:ligatures w14:val="none"/>
        </w:rPr>
        <w:t>总灰分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 xml:space="preserve">  不得过12.0%（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  <w14:ligatures w14:val="none"/>
        </w:rPr>
        <w:t>《中国药典》2025年版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通则2302）。</w:t>
      </w:r>
    </w:p>
    <w:p w14:paraId="27EE0DFB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【浸出物】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照醇溶性浸出物测定法（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  <w14:ligatures w14:val="none"/>
        </w:rPr>
        <w:t>《中国药典》2025年版通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则2201）项下的热浸法测定，用75%乙醇作溶剂，不得少于20.0%。</w:t>
      </w:r>
    </w:p>
    <w:p w14:paraId="69A26C18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</w:t>
      </w:r>
      <w:r>
        <w:rPr>
          <w:rFonts w:ascii="Times New Roman" w:hAnsi="Times New Roman" w:eastAsia="黑体" w:cs="Times New Roman"/>
          <w:bCs/>
          <w:kern w:val="0"/>
          <w:sz w:val="24"/>
          <w:lang w:bidi="ar"/>
          <w14:ligatures w14:val="none"/>
        </w:rPr>
        <w:t>炮制</w:t>
      </w: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】</w:t>
      </w:r>
      <w:r>
        <w:rPr>
          <w:rFonts w:ascii="Times New Roman" w:hAnsi="Times New Roman" w:eastAsia="宋体" w:cs="Times New Roman"/>
          <w:sz w:val="24"/>
          <w:szCs w:val="24"/>
        </w:rPr>
        <w:t>除去杂质，洗净，切段，干燥。</w:t>
      </w:r>
    </w:p>
    <w:p w14:paraId="2FB72708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14:ligatures w14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  <w:lang w:bidi="ar"/>
          <w14:ligatures w14:val="none"/>
        </w:rPr>
        <w:t>【性味与归经】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辛、苦，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微寒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。归肝、脾</w:t>
      </w:r>
      <w:r>
        <w:rPr>
          <w:rFonts w:hint="eastAsia" w:ascii="Times New Roman" w:hAnsi="Times New Roman" w:eastAsia="宋体" w:cs="Times New Roman"/>
          <w:kern w:val="0"/>
          <w:sz w:val="24"/>
          <w:lang w:eastAsia="zh-CN" w:bidi="ar"/>
          <w14:ligatures w14:val="none"/>
        </w:rPr>
        <w:t>、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胃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经。</w:t>
      </w:r>
    </w:p>
    <w:p w14:paraId="36BC7501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  <w:lang w:bidi="ar"/>
          <w14:ligatures w14:val="none"/>
        </w:rPr>
        <w:t>【功能与主治】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祛风除湿，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清热解毒，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消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痈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散结</w:t>
      </w:r>
      <w:r>
        <w:rPr>
          <w:rFonts w:hint="eastAsia" w:ascii="Times New Roman" w:hAnsi="Times New Roman" w:eastAsia="宋体" w:cs="Times New Roman"/>
          <w:kern w:val="0"/>
          <w:sz w:val="24"/>
          <w:lang w:eastAsia="zh-CN" w:bidi="ar"/>
          <w14:ligatures w14:val="none"/>
        </w:rPr>
        <w:t>；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外用拔毒消肿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。用于风湿痹痛，风火牙痛，痈肿疔毒，乳痈，流火，湿疹，痔漏；疮疖，痔疮。</w:t>
      </w:r>
    </w:p>
    <w:p w14:paraId="1B70BD82">
      <w:pPr>
        <w:widowControl/>
        <w:adjustRightInd w:val="0"/>
        <w:snapToGrid w:val="0"/>
        <w:spacing w:line="360" w:lineRule="auto"/>
        <w:ind w:firstLine="470" w:firstLineChars="196"/>
        <w:jc w:val="left"/>
        <w:rPr>
          <w:rFonts w:ascii="Times New Roman" w:hAnsi="Times New Roman" w:eastAsia="黑体" w:cs="Times New Roman"/>
          <w:bCs/>
          <w:color w:val="FF0000"/>
          <w:kern w:val="0"/>
          <w:sz w:val="24"/>
          <w:lang w:val="zh-CN" w:bidi="ar"/>
          <w14:ligatures w14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  <w:lang w:bidi="ar"/>
          <w14:ligatures w14:val="none"/>
        </w:rPr>
        <w:t>【用法与用量】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15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～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30g；外用适量</w:t>
      </w:r>
      <w:r>
        <w:rPr>
          <w:rFonts w:hint="eastAsia" w:ascii="Times New Roman" w:hAnsi="Times New Roman" w:eastAsia="宋体" w:cs="Times New Roman"/>
          <w:kern w:val="0"/>
          <w:sz w:val="24"/>
          <w:lang w:eastAsia="zh-CN" w:bidi="ar"/>
          <w14:ligatures w14:val="none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 w:bidi="ar"/>
          <w14:ligatures w14:val="none"/>
        </w:rPr>
        <w:t>研末调涂</w:t>
      </w:r>
      <w:r>
        <w:rPr>
          <w:rFonts w:hint="eastAsia" w:ascii="Times New Roman" w:hAnsi="Times New Roman" w:eastAsia="宋体" w:cs="Times New Roman"/>
          <w:kern w:val="0"/>
          <w:sz w:val="24"/>
          <w:lang w:bidi="ar"/>
          <w14:ligatures w14:val="none"/>
        </w:rPr>
        <w:t>。</w:t>
      </w:r>
    </w:p>
    <w:p w14:paraId="21A6D15F">
      <w:pPr>
        <w:widowControl/>
        <w:adjustRightInd w:val="0"/>
        <w:snapToGrid w:val="0"/>
        <w:spacing w:line="360" w:lineRule="auto"/>
        <w:ind w:firstLine="470" w:firstLineChars="196"/>
        <w:jc w:val="left"/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</w:pPr>
      <w:r>
        <w:rPr>
          <w:rFonts w:ascii="Times New Roman" w:hAnsi="Times New Roman" w:eastAsia="黑体" w:cs="Times New Roman"/>
          <w:bCs/>
          <w:kern w:val="0"/>
          <w:sz w:val="24"/>
          <w:lang w:val="zh-CN" w:bidi="ar"/>
          <w14:ligatures w14:val="none"/>
        </w:rPr>
        <w:t>【贮藏】</w:t>
      </w:r>
      <w:r>
        <w:rPr>
          <w:rFonts w:ascii="Times New Roman" w:hAnsi="Times New Roman" w:eastAsia="宋体" w:cs="Times New Roman"/>
          <w:kern w:val="0"/>
          <w:sz w:val="24"/>
          <w:lang w:bidi="ar"/>
          <w14:ligatures w14:val="none"/>
        </w:rPr>
        <w:t>置干燥处。</w:t>
      </w:r>
    </w:p>
    <w:sectPr>
      <w:pgSz w:w="11906" w:h="16838"/>
      <w:pgMar w:top="1440" w:right="1800" w:bottom="1440" w:left="1800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2F716A"/>
    <w:multiLevelType w:val="singleLevel"/>
    <w:tmpl w:val="252F716A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A7"/>
    <w:rsid w:val="00035F56"/>
    <w:rsid w:val="00046E01"/>
    <w:rsid w:val="000C282E"/>
    <w:rsid w:val="000D68B7"/>
    <w:rsid w:val="001331ED"/>
    <w:rsid w:val="0014797D"/>
    <w:rsid w:val="001645DF"/>
    <w:rsid w:val="00191C49"/>
    <w:rsid w:val="001A1E9E"/>
    <w:rsid w:val="00222605"/>
    <w:rsid w:val="00250F8B"/>
    <w:rsid w:val="00257C35"/>
    <w:rsid w:val="00286B60"/>
    <w:rsid w:val="0029289B"/>
    <w:rsid w:val="002A65A2"/>
    <w:rsid w:val="002C1EDF"/>
    <w:rsid w:val="002E7956"/>
    <w:rsid w:val="0030221B"/>
    <w:rsid w:val="00331B11"/>
    <w:rsid w:val="00336781"/>
    <w:rsid w:val="00340A71"/>
    <w:rsid w:val="00342F26"/>
    <w:rsid w:val="00346BD5"/>
    <w:rsid w:val="003641B3"/>
    <w:rsid w:val="003A19EA"/>
    <w:rsid w:val="003A50B5"/>
    <w:rsid w:val="003E23E7"/>
    <w:rsid w:val="004016FF"/>
    <w:rsid w:val="00402819"/>
    <w:rsid w:val="004171E5"/>
    <w:rsid w:val="004572EC"/>
    <w:rsid w:val="0047454C"/>
    <w:rsid w:val="004B6D05"/>
    <w:rsid w:val="004B7609"/>
    <w:rsid w:val="004D7B7E"/>
    <w:rsid w:val="004E38DC"/>
    <w:rsid w:val="004F0672"/>
    <w:rsid w:val="00516ACE"/>
    <w:rsid w:val="00520A8A"/>
    <w:rsid w:val="005349BA"/>
    <w:rsid w:val="00547DC9"/>
    <w:rsid w:val="00551384"/>
    <w:rsid w:val="00567EA0"/>
    <w:rsid w:val="00596DAF"/>
    <w:rsid w:val="005C6780"/>
    <w:rsid w:val="005D17E5"/>
    <w:rsid w:val="005D6097"/>
    <w:rsid w:val="005E02A3"/>
    <w:rsid w:val="00607724"/>
    <w:rsid w:val="006A4D93"/>
    <w:rsid w:val="006B3F8A"/>
    <w:rsid w:val="00701A0C"/>
    <w:rsid w:val="007065A7"/>
    <w:rsid w:val="00716454"/>
    <w:rsid w:val="007607BB"/>
    <w:rsid w:val="00764EEC"/>
    <w:rsid w:val="00775B25"/>
    <w:rsid w:val="00784E2D"/>
    <w:rsid w:val="007959A8"/>
    <w:rsid w:val="007F41EF"/>
    <w:rsid w:val="00823FDF"/>
    <w:rsid w:val="00840224"/>
    <w:rsid w:val="00856E8A"/>
    <w:rsid w:val="0087123D"/>
    <w:rsid w:val="00885375"/>
    <w:rsid w:val="008A15D1"/>
    <w:rsid w:val="008A6FAB"/>
    <w:rsid w:val="008B7C36"/>
    <w:rsid w:val="00906602"/>
    <w:rsid w:val="00930DDF"/>
    <w:rsid w:val="009C4683"/>
    <w:rsid w:val="009C562D"/>
    <w:rsid w:val="009E0CF9"/>
    <w:rsid w:val="009E1309"/>
    <w:rsid w:val="00A06028"/>
    <w:rsid w:val="00A13AF9"/>
    <w:rsid w:val="00A24259"/>
    <w:rsid w:val="00A51CFD"/>
    <w:rsid w:val="00A579DE"/>
    <w:rsid w:val="00A6548B"/>
    <w:rsid w:val="00B50548"/>
    <w:rsid w:val="00B53CC5"/>
    <w:rsid w:val="00B55A31"/>
    <w:rsid w:val="00B63691"/>
    <w:rsid w:val="00B97237"/>
    <w:rsid w:val="00BA0082"/>
    <w:rsid w:val="00BC2BF3"/>
    <w:rsid w:val="00BF5A8B"/>
    <w:rsid w:val="00BF7D24"/>
    <w:rsid w:val="00C34053"/>
    <w:rsid w:val="00C40918"/>
    <w:rsid w:val="00C5081B"/>
    <w:rsid w:val="00C6347A"/>
    <w:rsid w:val="00C71240"/>
    <w:rsid w:val="00C93ADD"/>
    <w:rsid w:val="00CA1E9B"/>
    <w:rsid w:val="00CD2F40"/>
    <w:rsid w:val="00CD4309"/>
    <w:rsid w:val="00D02248"/>
    <w:rsid w:val="00D06ADD"/>
    <w:rsid w:val="00D07DA7"/>
    <w:rsid w:val="00D148B3"/>
    <w:rsid w:val="00D5097E"/>
    <w:rsid w:val="00D57A56"/>
    <w:rsid w:val="00D954A5"/>
    <w:rsid w:val="00DC2B82"/>
    <w:rsid w:val="00DC5F63"/>
    <w:rsid w:val="00DD371F"/>
    <w:rsid w:val="00DE6D54"/>
    <w:rsid w:val="00E0647B"/>
    <w:rsid w:val="00E23710"/>
    <w:rsid w:val="00E26AF9"/>
    <w:rsid w:val="00E50DA7"/>
    <w:rsid w:val="00E748E1"/>
    <w:rsid w:val="00E820EB"/>
    <w:rsid w:val="00ED01DE"/>
    <w:rsid w:val="00ED2296"/>
    <w:rsid w:val="00EF272D"/>
    <w:rsid w:val="00EF7768"/>
    <w:rsid w:val="00F02BD6"/>
    <w:rsid w:val="00F36CE6"/>
    <w:rsid w:val="00F53136"/>
    <w:rsid w:val="00F5541F"/>
    <w:rsid w:val="00F57AD6"/>
    <w:rsid w:val="00F81622"/>
    <w:rsid w:val="00FA6759"/>
    <w:rsid w:val="00FD3055"/>
    <w:rsid w:val="00FF59A4"/>
    <w:rsid w:val="00FF699F"/>
    <w:rsid w:val="04640655"/>
    <w:rsid w:val="10401F77"/>
    <w:rsid w:val="12F108A0"/>
    <w:rsid w:val="159B3AB8"/>
    <w:rsid w:val="16DD37E6"/>
    <w:rsid w:val="16F0332F"/>
    <w:rsid w:val="17EF6030"/>
    <w:rsid w:val="191E097B"/>
    <w:rsid w:val="1E3D2546"/>
    <w:rsid w:val="208A2D9A"/>
    <w:rsid w:val="27FD4A69"/>
    <w:rsid w:val="2BC929C8"/>
    <w:rsid w:val="2FC02334"/>
    <w:rsid w:val="360D3DFA"/>
    <w:rsid w:val="46D30747"/>
    <w:rsid w:val="4AB64608"/>
    <w:rsid w:val="4BED22AB"/>
    <w:rsid w:val="50587360"/>
    <w:rsid w:val="51863F6A"/>
    <w:rsid w:val="52632118"/>
    <w:rsid w:val="57E836FF"/>
    <w:rsid w:val="5CEE7F2D"/>
    <w:rsid w:val="5F025C16"/>
    <w:rsid w:val="60605BAC"/>
    <w:rsid w:val="640E7F9F"/>
    <w:rsid w:val="748A603A"/>
    <w:rsid w:val="7674101F"/>
    <w:rsid w:val="7E40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1"/>
    <w:qFormat/>
    <w:uiPriority w:val="9"/>
    <w:pPr>
      <w:widowControl/>
      <w:spacing w:before="480" w:line="276" w:lineRule="auto"/>
      <w:contextualSpacing/>
      <w:jc w:val="left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paragraph" w:styleId="3">
    <w:name w:val="heading 2"/>
    <w:basedOn w:val="1"/>
    <w:next w:val="1"/>
    <w:link w:val="22"/>
    <w:unhideWhenUsed/>
    <w:qFormat/>
    <w:uiPriority w:val="9"/>
    <w:pPr>
      <w:widowControl/>
      <w:spacing w:before="200" w:line="276" w:lineRule="auto"/>
      <w:jc w:val="left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</w:rPr>
  </w:style>
  <w:style w:type="paragraph" w:styleId="4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5">
    <w:name w:val="heading 4"/>
    <w:basedOn w:val="1"/>
    <w:next w:val="1"/>
    <w:link w:val="3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376092" w:themeColor="accent1" w:themeShade="BF"/>
      <w:sz w:val="28"/>
      <w:szCs w:val="28"/>
    </w:rPr>
  </w:style>
  <w:style w:type="paragraph" w:styleId="6">
    <w:name w:val="heading 5"/>
    <w:basedOn w:val="1"/>
    <w:next w:val="1"/>
    <w:link w:val="3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376092" w:themeColor="accent1" w:themeShade="BF"/>
      <w:sz w:val="24"/>
      <w:szCs w:val="24"/>
    </w:rPr>
  </w:style>
  <w:style w:type="paragraph" w:styleId="7">
    <w:name w:val="heading 6"/>
    <w:basedOn w:val="1"/>
    <w:next w:val="1"/>
    <w:link w:val="3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376092" w:themeColor="accent1" w:themeShade="BF"/>
    </w:rPr>
  </w:style>
  <w:style w:type="paragraph" w:styleId="8">
    <w:name w:val="heading 7"/>
    <w:basedOn w:val="1"/>
    <w:next w:val="1"/>
    <w:link w:val="3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3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7"/>
    <w:unhideWhenUsed/>
    <w:qFormat/>
    <w:uiPriority w:val="99"/>
    <w:pPr>
      <w:jc w:val="left"/>
    </w:pPr>
  </w:style>
  <w:style w:type="paragraph" w:styleId="12">
    <w:name w:val="Balloon Text"/>
    <w:basedOn w:val="1"/>
    <w:link w:val="49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3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annotation subject"/>
    <w:basedOn w:val="11"/>
    <w:next w:val="11"/>
    <w:link w:val="48"/>
    <w:semiHidden/>
    <w:unhideWhenUsed/>
    <w:qFormat/>
    <w:uiPriority w:val="99"/>
    <w:rPr>
      <w:b/>
      <w:bCs/>
    </w:rPr>
  </w:style>
  <w:style w:type="character" w:styleId="20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1">
    <w:name w:val="标题 1 Char"/>
    <w:basedOn w:val="19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character" w:customStyle="1" w:styleId="22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kern w:val="0"/>
      <w:sz w:val="26"/>
      <w:szCs w:val="26"/>
    </w:rPr>
  </w:style>
  <w:style w:type="paragraph" w:customStyle="1" w:styleId="23">
    <w:name w:val="正文1"/>
    <w:link w:val="24"/>
    <w:qFormat/>
    <w:uiPriority w:val="0"/>
    <w:pPr>
      <w:spacing w:after="200"/>
      <w:jc w:val="both"/>
    </w:pPr>
    <w:rPr>
      <w:rFonts w:asciiTheme="minorEastAsia" w:hAnsiTheme="minorEastAsia" w:eastAsiaTheme="minorEastAsia" w:cstheme="minorBidi"/>
      <w:color w:val="000000"/>
      <w:sz w:val="24"/>
      <w:szCs w:val="22"/>
      <w:lang w:val="en-US" w:eastAsia="zh-CN" w:bidi="ar-SA"/>
      <w14:ligatures w14:val="standardContextual"/>
    </w:rPr>
  </w:style>
  <w:style w:type="character" w:customStyle="1" w:styleId="24">
    <w:name w:val="正文1 Char"/>
    <w:basedOn w:val="19"/>
    <w:link w:val="23"/>
    <w:qFormat/>
    <w:uiPriority w:val="0"/>
    <w:rPr>
      <w:rFonts w:asciiTheme="minorEastAsia" w:hAnsiTheme="minorEastAsia"/>
      <w:color w:val="000000"/>
      <w:kern w:val="0"/>
      <w:sz w:val="24"/>
    </w:rPr>
  </w:style>
  <w:style w:type="paragraph" w:customStyle="1" w:styleId="25">
    <w:name w:val="正文2"/>
    <w:link w:val="26"/>
    <w:qFormat/>
    <w:uiPriority w:val="0"/>
    <w:pPr>
      <w:spacing w:after="120" w:line="240" w:lineRule="exact"/>
      <w:jc w:val="both"/>
    </w:pPr>
    <w:rPr>
      <w:rFonts w:asciiTheme="minorEastAsia" w:hAnsiTheme="minorEastAsia" w:eastAsiaTheme="minorEastAsia" w:cstheme="minorBidi"/>
      <w:color w:val="000000"/>
      <w:sz w:val="24"/>
      <w:szCs w:val="22"/>
      <w:lang w:val="en-US" w:eastAsia="zh-CN" w:bidi="ar-SA"/>
      <w14:ligatures w14:val="standardContextual"/>
    </w:rPr>
  </w:style>
  <w:style w:type="character" w:customStyle="1" w:styleId="26">
    <w:name w:val="正文2 Char"/>
    <w:basedOn w:val="19"/>
    <w:link w:val="25"/>
    <w:qFormat/>
    <w:uiPriority w:val="0"/>
    <w:rPr>
      <w:rFonts w:asciiTheme="minorEastAsia" w:hAnsiTheme="minorEastAsia"/>
      <w:color w:val="000000"/>
      <w:kern w:val="0"/>
      <w:sz w:val="24"/>
    </w:rPr>
  </w:style>
  <w:style w:type="paragraph" w:customStyle="1" w:styleId="27">
    <w:name w:val="正文3"/>
    <w:link w:val="28"/>
    <w:qFormat/>
    <w:uiPriority w:val="0"/>
    <w:pPr>
      <w:spacing w:after="200" w:line="276" w:lineRule="auto"/>
      <w:ind w:left="420" w:leftChars="200"/>
    </w:pPr>
    <w:rPr>
      <w:rFonts w:asciiTheme="minorHAnsi" w:hAnsiTheme="minorHAnsi" w:eastAsiaTheme="minorEastAsia" w:cstheme="minorBidi"/>
      <w:sz w:val="21"/>
      <w:szCs w:val="22"/>
      <w:lang w:val="en-US" w:eastAsia="zh-CN" w:bidi="ar-SA"/>
      <w14:ligatures w14:val="standardContextual"/>
    </w:rPr>
  </w:style>
  <w:style w:type="character" w:customStyle="1" w:styleId="28">
    <w:name w:val="正文3 Char"/>
    <w:basedOn w:val="19"/>
    <w:link w:val="27"/>
    <w:qFormat/>
    <w:uiPriority w:val="0"/>
    <w:rPr>
      <w:kern w:val="0"/>
    </w:rPr>
  </w:style>
  <w:style w:type="character" w:customStyle="1" w:styleId="29">
    <w:name w:val="标题 3 Char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30">
    <w:name w:val="标题 4 Char"/>
    <w:basedOn w:val="19"/>
    <w:link w:val="5"/>
    <w:semiHidden/>
    <w:qFormat/>
    <w:uiPriority w:val="9"/>
    <w:rPr>
      <w:rFonts w:cstheme="majorBidi"/>
      <w:color w:val="376092" w:themeColor="accent1" w:themeShade="BF"/>
      <w:sz w:val="28"/>
      <w:szCs w:val="28"/>
    </w:rPr>
  </w:style>
  <w:style w:type="character" w:customStyle="1" w:styleId="31">
    <w:name w:val="标题 5 Char"/>
    <w:basedOn w:val="19"/>
    <w:link w:val="6"/>
    <w:semiHidden/>
    <w:qFormat/>
    <w:uiPriority w:val="9"/>
    <w:rPr>
      <w:rFonts w:cstheme="majorBidi"/>
      <w:color w:val="376092" w:themeColor="accent1" w:themeShade="BF"/>
      <w:sz w:val="24"/>
      <w:szCs w:val="24"/>
    </w:rPr>
  </w:style>
  <w:style w:type="character" w:customStyle="1" w:styleId="32">
    <w:name w:val="标题 6 Char"/>
    <w:basedOn w:val="19"/>
    <w:link w:val="7"/>
    <w:semiHidden/>
    <w:qFormat/>
    <w:uiPriority w:val="9"/>
    <w:rPr>
      <w:rFonts w:cstheme="majorBidi"/>
      <w:b/>
      <w:bCs/>
      <w:color w:val="376092" w:themeColor="accent1" w:themeShade="BF"/>
    </w:rPr>
  </w:style>
  <w:style w:type="character" w:customStyle="1" w:styleId="33">
    <w:name w:val="标题 7 Char"/>
    <w:basedOn w:val="19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4">
    <w:name w:val="标题 8 Char"/>
    <w:basedOn w:val="19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标题 9 Char"/>
    <w:basedOn w:val="19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6">
    <w:name w:val="标题 Char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7">
    <w:name w:val="副标题 Char"/>
    <w:basedOn w:val="19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8">
    <w:name w:val="Quote"/>
    <w:basedOn w:val="1"/>
    <w:next w:val="1"/>
    <w:link w:val="3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9">
    <w:name w:val="引用 Char"/>
    <w:basedOn w:val="19"/>
    <w:link w:val="3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40">
    <w:name w:val="List Paragraph"/>
    <w:basedOn w:val="1"/>
    <w:qFormat/>
    <w:uiPriority w:val="34"/>
    <w:pPr>
      <w:ind w:left="720"/>
      <w:contextualSpacing/>
    </w:pPr>
  </w:style>
  <w:style w:type="character" w:customStyle="1" w:styleId="41">
    <w:name w:val="明显强调1"/>
    <w:basedOn w:val="19"/>
    <w:qFormat/>
    <w:uiPriority w:val="21"/>
    <w:rPr>
      <w:i/>
      <w:iCs/>
      <w:color w:val="376092" w:themeColor="accent1" w:themeShade="BF"/>
    </w:rPr>
  </w:style>
  <w:style w:type="paragraph" w:styleId="42">
    <w:name w:val="Intense Quote"/>
    <w:basedOn w:val="1"/>
    <w:next w:val="1"/>
    <w:link w:val="43"/>
    <w:qFormat/>
    <w:uiPriority w:val="30"/>
    <w:pPr>
      <w:pBdr>
        <w:top w:val="single" w:color="366091" w:themeColor="accent1" w:themeShade="BF" w:sz="4" w:space="10"/>
        <w:bottom w:val="single" w:color="3660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76092" w:themeColor="accent1" w:themeShade="BF"/>
    </w:rPr>
  </w:style>
  <w:style w:type="character" w:customStyle="1" w:styleId="43">
    <w:name w:val="明显引用 Char"/>
    <w:basedOn w:val="19"/>
    <w:link w:val="42"/>
    <w:qFormat/>
    <w:uiPriority w:val="30"/>
    <w:rPr>
      <w:i/>
      <w:iCs/>
      <w:color w:val="376092" w:themeColor="accent1" w:themeShade="BF"/>
    </w:rPr>
  </w:style>
  <w:style w:type="character" w:customStyle="1" w:styleId="44">
    <w:name w:val="明显参考1"/>
    <w:basedOn w:val="19"/>
    <w:qFormat/>
    <w:uiPriority w:val="32"/>
    <w:rPr>
      <w:b/>
      <w:bCs/>
      <w:smallCaps/>
      <w:color w:val="376092" w:themeColor="accent1" w:themeShade="BF"/>
      <w:spacing w:val="5"/>
    </w:rPr>
  </w:style>
  <w:style w:type="character" w:customStyle="1" w:styleId="45">
    <w:name w:val="页眉 Char"/>
    <w:basedOn w:val="19"/>
    <w:link w:val="14"/>
    <w:qFormat/>
    <w:uiPriority w:val="99"/>
    <w:rPr>
      <w:sz w:val="18"/>
      <w:szCs w:val="18"/>
    </w:rPr>
  </w:style>
  <w:style w:type="character" w:customStyle="1" w:styleId="46">
    <w:name w:val="页脚 Char"/>
    <w:basedOn w:val="19"/>
    <w:link w:val="13"/>
    <w:qFormat/>
    <w:uiPriority w:val="99"/>
    <w:rPr>
      <w:sz w:val="18"/>
      <w:szCs w:val="18"/>
    </w:rPr>
  </w:style>
  <w:style w:type="character" w:customStyle="1" w:styleId="47">
    <w:name w:val="批注文字 Char"/>
    <w:basedOn w:val="19"/>
    <w:link w:val="11"/>
    <w:qFormat/>
    <w:uiPriority w:val="99"/>
  </w:style>
  <w:style w:type="character" w:customStyle="1" w:styleId="48">
    <w:name w:val="批注主题 Char"/>
    <w:basedOn w:val="47"/>
    <w:link w:val="17"/>
    <w:semiHidden/>
    <w:qFormat/>
    <w:uiPriority w:val="99"/>
    <w:rPr>
      <w:b/>
      <w:bCs/>
    </w:rPr>
  </w:style>
  <w:style w:type="character" w:customStyle="1" w:styleId="49">
    <w:name w:val="批注框文本 Char"/>
    <w:basedOn w:val="19"/>
    <w:link w:val="12"/>
    <w:semiHidden/>
    <w:qFormat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1589</Words>
  <Characters>1893</Characters>
  <Lines>13</Lines>
  <Paragraphs>3</Paragraphs>
  <TotalTime>6</TotalTime>
  <ScaleCrop>false</ScaleCrop>
  <LinksUpToDate>false</LinksUpToDate>
  <CharactersWithSpaces>1917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2025-11-15T02:54:00Z</dcterms:created>
  <dc:creator>娟林 陈</dc:creator>
  <cp:lastModifiedBy>木木</cp:lastModifiedBy>
  <cp:lastPrinted>2025-10-30T11:56:00Z</cp:lastPrinted>
  <dcterms:modified xsi:type="dcterms:W3CDTF">2025-11-19T07:54:38Z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0907A91FE90C4E4696E5A515C426D1B2_13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